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09 49 vom 25. März 2009</w:t>
      </w:r>
    </w:p>
    <w:p>
      <w:r>
        <w:t>VS Kantonsgericht, 2009-03-25, FR</w:t>
      </w:r>
    </w:p>
    <w:p>
      <w:r>
        <w:rPr>
          <w:b/>
        </w:rPr>
        <w:t xml:space="preserve">Quelle: </w:t>
      </w:r>
      <w:r>
        <w:t>https://mcp.opencaselaw.ch/entscheid/vs_gerichte_P3 09 49</w:t>
      </w:r>
    </w:p>
    <w:p>
      <w:r>
        <w:t>FR: VS_GERICHTE P3 09 49 du 25 mars 2009</w:t>
      </w:r>
    </w:p>
    <w:p>
      <w:r>
        <w:t>IT: VS_GERICHTE P3 09 49 del 25 marzo 2009</w:t>
      </w:r>
    </w:p>
    <w:p>
      <w:pPr>
        <w:pStyle w:val="Heading2"/>
      </w:pPr>
      <w:r>
        <w:t>Regeste</w:t>
      </w:r>
    </w:p>
    <w:p>
      <w:r>
        <w:t>RVJ/ZWR 2009 319 Procédure pénale Strafprozessrecht ATC (Autorité de plainte) du 25 mars 2009, X. c. Juge d’instruction du Valais central Ecriture de recours : contenu; qualité de lésé en cas d’infraction poursuivie d’of- fice; exigences de motivation du recours – Une écriture de recours inconvenante, constituée par un manquement aux règles de la civilité, est un vice réparable, contrairement à un défaut de motivation. Dans un tel cas, l’autorité de plainte impartit à son auteur un délai approprié pour remédier à l’irrégularité et l’avertit qu’à défaut sa plainte ne sera pas prise en considération (art. 166 ss CPP; consid. 3a). – Notion de lésé (art. 48 ch. 1 al. 1 CPP; consid. 4b). – Exemple de contenu d’une plainte ne répondant pas à l’exigence de motivation posée par l’art. 169 ch. 1 al. 2 CPP ( consid. 5a). Beschwerdeschrift: Inhalt; Begriff des Geschädigten bei Offizialdelikten; Begründungsanforderungen der Beschwerde – Eine ungebührliche Beschwerdeschrift infolge Verletzung grundlegender Höflich- keitsregeln kann im Gegensatz zu einer mangelhaften Begründung verbessert</w:t>
      </w:r>
    </w:p>
    <w:p>
      <w:pPr>
        <w:pStyle w:val="Heading2"/>
      </w:pPr>
      <w:r>
        <w:t>Erwägungen</w:t>
      </w:r>
    </w:p>
    <w:p>
      <w:r>
        <w:rPr>
          <w:b/>
        </w:rPr>
        <w:t>E. 5</w:t>
      </w:r>
    </w:p>
    <w:p>
      <w:r>
        <w:t>a) Pour répondre à l’exigence de motivation selon l’art. 169 ch. 1 al. 2 CPP, le recourant doit prendre position - même brièvement - sur l’argumentation énoncée dans la décision attaquée et se prononcer au sujet de chaque infraction pénale non retenue par le juge d’instruc- tion, les griefs d’ordre général étant insuffisants. Ainsi, il ne remplit pas cette condition en se contentant de renvoyer à des considérations contenues dans d’autres écritures ou de reprocher au magistrat de ne tenir aucun compte du dossier ni des faits nouveaux (sans indiquer lesquels). Lorsque le plaignant estime l’instruction préliminaire incomplète, il lui incombe de justifier la pertinence des moyens de preuve requis en précisant en quoi ils sont susceptibles d’être déter- minants pour décider de l’issue du litige (RVJ 2008 p. 321 consid. 1b et les références citées). b) En l’espèce, dans la mesure où X. conteste également la déci- sion attaquée relative aux délits contre l’honneur (art. 173 ss CP), sa plainte est encore irrecevable, faute de motivation suffisante. En effet, alors que le juge d’instruction retient que, lors de son audition comme témoin du 15 mai 2008, A. n’a fait que suivre son devoir de déposer en cause, on cherche en vain dans son recours une prise de position, même brève, à cet égard. Qui plus est, le plaignant n’y spé- cifie même pas quels seraient les propos attentatoires à son honneur imputables à A., ni d’ailleurs quels seraient les documents pouvant être constitutifs du faux dans les titres dénoncé (art. 251 CP). Sur le fond, on observe que A., qui était tenu de déposer en sa qualité de</w:t>
      </w:r>
    </w:p>
    <w:p>
      <w:r>
        <w:t>témoin, s’est borné à répondre aux questions posées, sans formules inutilement blessantes, en disant ce qu’il considérait comme vrai s’agissant des relations personnelles et économiques de C. (cf. Cor- boz, Les infractions en droit suisse, vol. I, Berne 2002, n. 109 ad art. 173 CP). Pouvant se prévaloir de l’art. 14 CP, il ne saurait, en tout état de cause, être punissable. 322 RVJ/ZWR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